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3E" w:rsidRPr="008A3CF8" w:rsidRDefault="0084033E" w:rsidP="0030594C">
      <w:pPr>
        <w:jc w:val="right"/>
      </w:pPr>
      <w:r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84033E" w:rsidRPr="0084033E" w:rsidRDefault="0084033E" w:rsidP="0030594C">
      <w:pPr>
        <w:jc w:val="right"/>
        <w:rPr>
          <w:sz w:val="12"/>
          <w:szCs w:val="12"/>
        </w:rPr>
      </w:pPr>
    </w:p>
    <w:p w:rsidR="0084033E" w:rsidRDefault="0084033E" w:rsidP="0030594C">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8A3CF8" w:rsidRPr="000F4D8F" w:rsidRDefault="008A3CF8" w:rsidP="008A3CF8">
      <w:pPr>
        <w:spacing w:before="60"/>
        <w:jc w:val="right"/>
        <w:rPr>
          <w:color w:val="808080" w:themeColor="background1" w:themeShade="80"/>
          <w:sz w:val="18"/>
          <w:szCs w:val="18"/>
        </w:rPr>
      </w:pPr>
      <w:r>
        <w:rPr>
          <w:color w:val="808080" w:themeColor="background1" w:themeShade="80"/>
          <w:sz w:val="18"/>
          <w:szCs w:val="18"/>
        </w:rPr>
        <w:t>Zentralkonferenz in Deutschland</w:t>
      </w:r>
    </w:p>
    <w:p w:rsidR="00570310" w:rsidRDefault="00570310" w:rsidP="008A3CF8">
      <w:pPr>
        <w:jc w:val="right"/>
      </w:pPr>
    </w:p>
    <w:p w:rsidR="008A3CF8" w:rsidRDefault="008A3CF8" w:rsidP="008A3CF8">
      <w:pPr>
        <w:jc w:val="right"/>
      </w:pPr>
    </w:p>
    <w:p w:rsidR="008A3CF8" w:rsidRDefault="008A3CF8" w:rsidP="008A3CF8">
      <w:pPr>
        <w:jc w:val="right"/>
      </w:pPr>
    </w:p>
    <w:p w:rsidR="00570310" w:rsidRDefault="00570310" w:rsidP="00E15508"/>
    <w:p w:rsidR="00CF2781" w:rsidRDefault="00CF2781" w:rsidP="00E15508"/>
    <w:p w:rsidR="00570310" w:rsidRDefault="00570310" w:rsidP="00E15508"/>
    <w:p w:rsidR="00570310" w:rsidRDefault="00570310" w:rsidP="00E15508"/>
    <w:p w:rsidR="00570310" w:rsidRPr="00A6102F" w:rsidRDefault="00570310" w:rsidP="00E15508"/>
    <w:p w:rsidR="00673BFD" w:rsidRDefault="00673BFD" w:rsidP="00E15508">
      <w:pPr>
        <w:rPr>
          <w:szCs w:val="24"/>
        </w:rPr>
      </w:pPr>
    </w:p>
    <w:p w:rsidR="00CF2781" w:rsidRDefault="00CF2781" w:rsidP="00CF2781">
      <w:pPr>
        <w:pStyle w:val="berschrift1"/>
      </w:pPr>
      <w:r w:rsidRPr="00E15508">
        <w:rPr>
          <w:szCs w:val="40"/>
        </w:rPr>
        <w:t>Trauung</w:t>
      </w:r>
      <w:r w:rsidR="001870B0">
        <w:rPr>
          <w:szCs w:val="40"/>
        </w:rPr>
        <w:t xml:space="preserve"> und Ehejubiläum</w:t>
      </w:r>
    </w:p>
    <w:p w:rsidR="001870B0" w:rsidRPr="001870B0" w:rsidRDefault="001870B0" w:rsidP="001870B0">
      <w:pPr>
        <w:pStyle w:val="Rubrik"/>
        <w:rPr>
          <w:szCs w:val="24"/>
        </w:rPr>
      </w:pPr>
      <w:bookmarkStart w:id="0" w:name="_GoBack"/>
      <w:bookmarkEnd w:id="0"/>
      <w:r w:rsidRPr="001870B0">
        <w:rPr>
          <w:szCs w:val="24"/>
        </w:rPr>
        <w:t>Die Trauung ist die festliche Segnung eines Paares in einem christ</w:t>
      </w:r>
      <w:r>
        <w:rPr>
          <w:szCs w:val="24"/>
        </w:rPr>
        <w:softHyphen/>
      </w:r>
      <w:r w:rsidRPr="001870B0">
        <w:rPr>
          <w:szCs w:val="24"/>
        </w:rPr>
        <w:t>lichen Gottesdienst anlässlich der Eheschließung. Vor Gott und der versammelten Gemeinde bekennen die Eheleute, dass sie liebevoll gemeinsam leben und einander treu sein wollen. Dem Paar wird die Unterstützung der Gemeinde und seelsorglicher Beistand zugesichert.</w:t>
      </w:r>
    </w:p>
    <w:p w:rsidR="001870B0" w:rsidRPr="001870B0" w:rsidRDefault="001870B0" w:rsidP="001870B0">
      <w:pPr>
        <w:pStyle w:val="Rubrik"/>
        <w:rPr>
          <w:szCs w:val="24"/>
        </w:rPr>
      </w:pPr>
      <w:r w:rsidRPr="001870B0">
        <w:rPr>
          <w:szCs w:val="24"/>
        </w:rPr>
        <w:t>Der Trauung geht die standesamtliche Eheschließung voraus.</w:t>
      </w:r>
    </w:p>
    <w:p w:rsidR="001870B0" w:rsidRPr="001870B0" w:rsidRDefault="001870B0" w:rsidP="001870B0">
      <w:pPr>
        <w:pStyle w:val="Rubrik"/>
        <w:rPr>
          <w:szCs w:val="24"/>
        </w:rPr>
      </w:pPr>
      <w:r w:rsidRPr="001870B0">
        <w:rPr>
          <w:szCs w:val="24"/>
        </w:rPr>
        <w:t>Ihren liturgischen Ort hat die Trauung im dritten Teil des Gottes</w:t>
      </w:r>
      <w:r>
        <w:rPr>
          <w:szCs w:val="24"/>
        </w:rPr>
        <w:softHyphen/>
      </w:r>
      <w:r w:rsidRPr="001870B0">
        <w:rPr>
          <w:szCs w:val="24"/>
        </w:rPr>
        <w:t>dienstes („Teilen – Gott verbindet uns miteinander“). Die Lesun</w:t>
      </w:r>
      <w:r>
        <w:rPr>
          <w:szCs w:val="24"/>
        </w:rPr>
        <w:softHyphen/>
      </w:r>
      <w:r w:rsidRPr="001870B0">
        <w:rPr>
          <w:szCs w:val="24"/>
        </w:rPr>
        <w:t>gen und die Verkündigung im zweiten Teil („Hören – Gott spricht zu uns“) können ganz auf die Trauung hin ausgerichtet sein und die Biografie der Eheleute sowie die Geschichte des Paares auf</w:t>
      </w:r>
      <w:r>
        <w:rPr>
          <w:szCs w:val="24"/>
        </w:rPr>
        <w:softHyphen/>
      </w:r>
      <w:r w:rsidRPr="001870B0">
        <w:rPr>
          <w:szCs w:val="24"/>
        </w:rPr>
        <w:t>greifen.</w:t>
      </w:r>
    </w:p>
    <w:p w:rsidR="001870B0" w:rsidRPr="001870B0" w:rsidRDefault="001870B0" w:rsidP="001870B0">
      <w:pPr>
        <w:pStyle w:val="Rubrik"/>
        <w:rPr>
          <w:szCs w:val="24"/>
        </w:rPr>
      </w:pPr>
      <w:r w:rsidRPr="001870B0">
        <w:rPr>
          <w:szCs w:val="24"/>
        </w:rPr>
        <w:t xml:space="preserve">Die verschiedenen Formulare versuchen, der Unterschiedlichkeit und Breite von verbindlichen Lebensformen Raum zu geben; für das Ehejubiläum gibt es ein </w:t>
      </w:r>
      <w:r>
        <w:rPr>
          <w:szCs w:val="24"/>
        </w:rPr>
        <w:t>eigen</w:t>
      </w:r>
      <w:r w:rsidRPr="001870B0">
        <w:rPr>
          <w:szCs w:val="24"/>
        </w:rPr>
        <w:t>es Formular. Dabei können Par</w:t>
      </w:r>
      <w:r>
        <w:rPr>
          <w:szCs w:val="24"/>
        </w:rPr>
        <w:softHyphen/>
      </w:r>
      <w:r w:rsidRPr="001870B0">
        <w:rPr>
          <w:szCs w:val="24"/>
        </w:rPr>
        <w:t>tien und Ideen aus dem einen Formular entnommen und in einem anderen verwendet werden und umgekehrt.</w:t>
      </w:r>
    </w:p>
    <w:p w:rsidR="001870B0" w:rsidRPr="001870B0" w:rsidRDefault="001870B0" w:rsidP="001870B0">
      <w:pPr>
        <w:pStyle w:val="Rubrik"/>
        <w:rPr>
          <w:szCs w:val="24"/>
        </w:rPr>
      </w:pPr>
      <w:r w:rsidRPr="001870B0">
        <w:rPr>
          <w:szCs w:val="24"/>
        </w:rPr>
        <w:lastRenderedPageBreak/>
        <w:t>Gestaltungswünsche werden im Vorfeld des Trau- bzw. Jubiläums</w:t>
      </w:r>
      <w:r>
        <w:rPr>
          <w:szCs w:val="24"/>
        </w:rPr>
        <w:softHyphen/>
      </w:r>
      <w:r w:rsidRPr="001870B0">
        <w:rPr>
          <w:szCs w:val="24"/>
        </w:rPr>
        <w:t>gottesdienstes gemeinsam entwickelt und so abgestimmt, dass sich das Paar, dessen Angehörige, die Liturgin bzw. der Liturg sowie die Gemeinde als Teil der festlichen Feier fühlen können.</w:t>
      </w:r>
    </w:p>
    <w:p w:rsidR="001870B0" w:rsidRPr="001870B0" w:rsidRDefault="001870B0" w:rsidP="001870B0">
      <w:pPr>
        <w:pStyle w:val="Rubrik"/>
        <w:rPr>
          <w:szCs w:val="24"/>
        </w:rPr>
      </w:pPr>
      <w:r w:rsidRPr="001870B0">
        <w:rPr>
          <w:szCs w:val="24"/>
        </w:rPr>
        <w:t>Im Gespräch im Vorfeld des Gottesdienstes wird der Wunsch des Paares nach einer kirchlichen Trauung erörtert. Dabei bilden die Traufragen bzw. das Trauversprechen einen inhaltlichen Schwer</w:t>
      </w:r>
      <w:r>
        <w:rPr>
          <w:szCs w:val="24"/>
        </w:rPr>
        <w:softHyphen/>
      </w:r>
      <w:r w:rsidRPr="001870B0">
        <w:rPr>
          <w:szCs w:val="24"/>
        </w:rPr>
        <w:t>punkt. Die  Absicht, eine dauerhafte Beziehung zu führen, ist Vor</w:t>
      </w:r>
      <w:r>
        <w:rPr>
          <w:szCs w:val="24"/>
        </w:rPr>
        <w:softHyphen/>
      </w:r>
      <w:r w:rsidRPr="001870B0">
        <w:rPr>
          <w:szCs w:val="24"/>
        </w:rPr>
        <w:t>aussetzung für eine kirchliche Trauung. In Traufragen bzw.  versprechen findet sie ihren Ausdruck und wird im Gottesdienst in Symbolen anschaulich gemacht (z.B. Ringwechsel, geflochtene Fäden o.a.). Der anschließende Segen umfängt das Versprechen des Paares mit der Zusicherung von Gottes Beistand und heil</w:t>
      </w:r>
      <w:r>
        <w:rPr>
          <w:szCs w:val="24"/>
        </w:rPr>
        <w:softHyphen/>
      </w:r>
      <w:r w:rsidRPr="001870B0">
        <w:rPr>
          <w:szCs w:val="24"/>
        </w:rPr>
        <w:t>vollem Wirken.</w:t>
      </w:r>
    </w:p>
    <w:p w:rsidR="001870B0" w:rsidRPr="001870B0" w:rsidRDefault="001870B0" w:rsidP="001870B0">
      <w:pPr>
        <w:pStyle w:val="Rubrik"/>
        <w:rPr>
          <w:szCs w:val="24"/>
        </w:rPr>
      </w:pPr>
      <w:r w:rsidRPr="001870B0">
        <w:rPr>
          <w:szCs w:val="24"/>
        </w:rPr>
        <w:t>Im Traugespräch kann die persönliche und gemeinsame Geschich</w:t>
      </w:r>
      <w:r>
        <w:rPr>
          <w:szCs w:val="24"/>
        </w:rPr>
        <w:softHyphen/>
      </w:r>
      <w:r w:rsidRPr="001870B0">
        <w:rPr>
          <w:szCs w:val="24"/>
        </w:rPr>
        <w:t>te sowie das Kennenlernen des Paares zur Sprache kommen. Das Wählen eines Trauspruchs bietet weitere Gelegenheit zum Aus</w:t>
      </w:r>
      <w:r>
        <w:rPr>
          <w:szCs w:val="24"/>
        </w:rPr>
        <w:softHyphen/>
      </w:r>
      <w:r w:rsidRPr="001870B0">
        <w:rPr>
          <w:szCs w:val="24"/>
        </w:rPr>
        <w:t>tausch. Aus ihm können sich tragende Gedanken für die Ansprache entwickeln.</w:t>
      </w:r>
    </w:p>
    <w:p w:rsidR="001870B0" w:rsidRPr="001870B0" w:rsidRDefault="001870B0" w:rsidP="001870B0">
      <w:pPr>
        <w:pStyle w:val="Rubrik"/>
        <w:rPr>
          <w:szCs w:val="24"/>
        </w:rPr>
      </w:pPr>
      <w:r w:rsidRPr="001870B0">
        <w:rPr>
          <w:szCs w:val="24"/>
        </w:rPr>
        <w:t>Für die Trauung eines konfessionsverschiedenen Paares wird keine gesonderte Ordnung geboten. Bei einer konfessionsverschiedenen Trauung ist zu beachten, dass</w:t>
      </w:r>
    </w:p>
    <w:p w:rsidR="001870B0" w:rsidRPr="001870B0" w:rsidRDefault="001870B0" w:rsidP="001870B0">
      <w:pPr>
        <w:pStyle w:val="Rubrik"/>
        <w:ind w:left="709" w:hanging="425"/>
        <w:rPr>
          <w:szCs w:val="24"/>
        </w:rPr>
      </w:pPr>
      <w:r w:rsidRPr="001870B0">
        <w:rPr>
          <w:szCs w:val="24"/>
        </w:rPr>
        <w:t>–</w:t>
      </w:r>
      <w:r w:rsidRPr="001870B0">
        <w:rPr>
          <w:szCs w:val="24"/>
        </w:rPr>
        <w:tab/>
        <w:t>eine konfessionsverschiedene Ehe die Chance zu besserem gegenseitigen Verständnis unter Christen bilden, aber auch besonderen Belastungen ausgesetzt sein kann;</w:t>
      </w:r>
    </w:p>
    <w:p w:rsidR="001870B0" w:rsidRPr="001870B0" w:rsidRDefault="001870B0" w:rsidP="001870B0">
      <w:pPr>
        <w:pStyle w:val="Rubrik"/>
        <w:ind w:left="709" w:hanging="425"/>
        <w:rPr>
          <w:szCs w:val="24"/>
        </w:rPr>
      </w:pPr>
      <w:r w:rsidRPr="001870B0">
        <w:rPr>
          <w:szCs w:val="24"/>
        </w:rPr>
        <w:t>–</w:t>
      </w:r>
      <w:r w:rsidRPr="001870B0">
        <w:rPr>
          <w:szCs w:val="24"/>
        </w:rPr>
        <w:tab/>
        <w:t>die Geistlichen beider Kirchen konsultiert werden;</w:t>
      </w:r>
    </w:p>
    <w:p w:rsidR="001870B0" w:rsidRPr="001870B0" w:rsidRDefault="001870B0" w:rsidP="001870B0">
      <w:pPr>
        <w:pStyle w:val="Rubrik"/>
        <w:ind w:left="709" w:hanging="425"/>
        <w:rPr>
          <w:szCs w:val="24"/>
        </w:rPr>
      </w:pPr>
      <w:r w:rsidRPr="001870B0">
        <w:rPr>
          <w:szCs w:val="24"/>
        </w:rPr>
        <w:t>–</w:t>
      </w:r>
      <w:r w:rsidRPr="001870B0">
        <w:rPr>
          <w:szCs w:val="24"/>
        </w:rPr>
        <w:tab/>
        <w:t>ein:e römisch-kat</w:t>
      </w:r>
      <w:r w:rsidR="00DA543B">
        <w:rPr>
          <w:szCs w:val="24"/>
        </w:rPr>
        <w:t>holische:r Partner:in bei ihrer/</w:t>
      </w:r>
      <w:r w:rsidRPr="001870B0">
        <w:rPr>
          <w:szCs w:val="24"/>
        </w:rPr>
        <w:t>seiner Kirche »Dispens von der Formpflicht«, d. h. die Erlaubnis für eine nichtkatholische Eheschließung, einholen muss;</w:t>
      </w:r>
    </w:p>
    <w:p w:rsidR="001870B0" w:rsidRPr="001870B0" w:rsidRDefault="001870B0" w:rsidP="001870B0">
      <w:pPr>
        <w:pStyle w:val="Rubrik"/>
        <w:ind w:left="709" w:hanging="425"/>
        <w:rPr>
          <w:szCs w:val="24"/>
        </w:rPr>
      </w:pPr>
      <w:r w:rsidRPr="001870B0">
        <w:rPr>
          <w:szCs w:val="24"/>
        </w:rPr>
        <w:t>–</w:t>
      </w:r>
      <w:r w:rsidRPr="001870B0">
        <w:rPr>
          <w:szCs w:val="24"/>
        </w:rPr>
        <w:tab/>
        <w:t>die Entscheidung darüber, wo die Trauung stattfindet, ohne Druck von außen geschieht;</w:t>
      </w:r>
    </w:p>
    <w:p w:rsidR="001870B0" w:rsidRPr="001870B0" w:rsidRDefault="001870B0" w:rsidP="001870B0">
      <w:pPr>
        <w:pStyle w:val="Rubrik"/>
        <w:ind w:left="709" w:hanging="425"/>
        <w:rPr>
          <w:szCs w:val="24"/>
        </w:rPr>
      </w:pPr>
      <w:r w:rsidRPr="001870B0">
        <w:rPr>
          <w:szCs w:val="24"/>
        </w:rPr>
        <w:lastRenderedPageBreak/>
        <w:t>–</w:t>
      </w:r>
      <w:r w:rsidRPr="001870B0">
        <w:rPr>
          <w:szCs w:val="24"/>
        </w:rPr>
        <w:tab/>
        <w:t>die Frage nach der Erziehung der Kinder und der kirchlichen Zugehörigkeit und gottesdienstlichen Praxis der Familie be</w:t>
      </w:r>
      <w:r>
        <w:rPr>
          <w:szCs w:val="24"/>
        </w:rPr>
        <w:softHyphen/>
      </w:r>
      <w:r w:rsidRPr="001870B0">
        <w:rPr>
          <w:szCs w:val="24"/>
        </w:rPr>
        <w:t>reits vor der Trauung gründlich erörtert und von den Eheleu</w:t>
      </w:r>
      <w:r>
        <w:rPr>
          <w:szCs w:val="24"/>
        </w:rPr>
        <w:softHyphen/>
      </w:r>
      <w:r w:rsidRPr="001870B0">
        <w:rPr>
          <w:szCs w:val="24"/>
        </w:rPr>
        <w:t>ten selbst entschieden wird.</w:t>
      </w:r>
    </w:p>
    <w:p w:rsidR="001870B0" w:rsidRPr="001870B0" w:rsidRDefault="001870B0" w:rsidP="001870B0">
      <w:pPr>
        <w:pStyle w:val="Rubrik"/>
        <w:rPr>
          <w:szCs w:val="24"/>
        </w:rPr>
      </w:pPr>
      <w:r w:rsidRPr="001870B0">
        <w:rPr>
          <w:szCs w:val="24"/>
        </w:rPr>
        <w:t>Eine gemeinsame Trauung unter Mitwirkung von zwei Amts</w:t>
      </w:r>
      <w:r>
        <w:rPr>
          <w:szCs w:val="24"/>
        </w:rPr>
        <w:softHyphen/>
      </w:r>
      <w:r w:rsidRPr="001870B0">
        <w:rPr>
          <w:szCs w:val="24"/>
        </w:rPr>
        <w:t>träger:innen ist dann sinnvoll, wenn beide Eheleute überzeugte Glieder ihrer Kirche sind und dies auch bleiben wollen. Die Kir</w:t>
      </w:r>
      <w:r>
        <w:rPr>
          <w:szCs w:val="24"/>
        </w:rPr>
        <w:softHyphen/>
      </w:r>
      <w:r w:rsidRPr="001870B0">
        <w:rPr>
          <w:szCs w:val="24"/>
        </w:rPr>
        <w:t>chenmitgliedschaft der Getrauten ändert sich durch die kirchliche Trauung nicht. Bei einer gemeinsamen Trauung in einem Kirch</w:t>
      </w:r>
      <w:r>
        <w:rPr>
          <w:szCs w:val="24"/>
        </w:rPr>
        <w:softHyphen/>
      </w:r>
      <w:r w:rsidRPr="001870B0">
        <w:rPr>
          <w:szCs w:val="24"/>
        </w:rPr>
        <w:t>gebäude der EmK kann von der agendarischen Form der EmK aus</w:t>
      </w:r>
      <w:r>
        <w:rPr>
          <w:szCs w:val="24"/>
        </w:rPr>
        <w:softHyphen/>
      </w:r>
      <w:r w:rsidRPr="001870B0">
        <w:rPr>
          <w:szCs w:val="24"/>
        </w:rPr>
        <w:t>gegangen werden, wobei der bzw. die Geistliche der anderen Kir</w:t>
      </w:r>
      <w:r>
        <w:rPr>
          <w:szCs w:val="24"/>
        </w:rPr>
        <w:softHyphen/>
      </w:r>
      <w:r w:rsidRPr="001870B0">
        <w:rPr>
          <w:szCs w:val="24"/>
        </w:rPr>
        <w:t>che in allen Teilen der Feier angemessen zu beteiligen ist: Die Handauflegung bei der Segnung der Brautleute ist von den betei</w:t>
      </w:r>
      <w:r>
        <w:rPr>
          <w:szCs w:val="24"/>
        </w:rPr>
        <w:softHyphen/>
      </w:r>
      <w:r w:rsidRPr="001870B0">
        <w:rPr>
          <w:szCs w:val="24"/>
        </w:rPr>
        <w:t>ligten Amtsträger:innen gemeinsam zu vollziehen. Eine partner</w:t>
      </w:r>
      <w:r w:rsidR="008D6634">
        <w:rPr>
          <w:szCs w:val="24"/>
        </w:rPr>
        <w:softHyphen/>
      </w:r>
      <w:r w:rsidRPr="001870B0">
        <w:rPr>
          <w:szCs w:val="24"/>
        </w:rPr>
        <w:t>schaftliche Zusammenarbeit der beiden Amtsträger bei der Vorbe</w:t>
      </w:r>
      <w:r w:rsidR="008D6634">
        <w:rPr>
          <w:szCs w:val="24"/>
        </w:rPr>
        <w:softHyphen/>
      </w:r>
      <w:r w:rsidRPr="001870B0">
        <w:rPr>
          <w:szCs w:val="24"/>
        </w:rPr>
        <w:t>reitung und Gestaltung der Feier ist im Interesse der Brautleute und der Gemeinden geboten.</w:t>
      </w:r>
    </w:p>
    <w:p w:rsidR="001870B0" w:rsidRPr="001870B0" w:rsidRDefault="001870B0" w:rsidP="001870B0">
      <w:pPr>
        <w:pStyle w:val="Rubrik"/>
        <w:rPr>
          <w:szCs w:val="24"/>
        </w:rPr>
      </w:pPr>
      <w:r w:rsidRPr="001870B0">
        <w:rPr>
          <w:szCs w:val="24"/>
        </w:rPr>
        <w:t>Der Vollzug einer gemeinsamen Trauung wird in das EmK-Kirchen</w:t>
      </w:r>
      <w:r w:rsidR="008D6634">
        <w:rPr>
          <w:szCs w:val="24"/>
        </w:rPr>
        <w:softHyphen/>
      </w:r>
      <w:r w:rsidRPr="001870B0">
        <w:rPr>
          <w:szCs w:val="24"/>
        </w:rPr>
        <w:t>buch mit einem entsprechenden Vermerk eingetragen.</w:t>
      </w:r>
    </w:p>
    <w:p w:rsidR="001870B0" w:rsidRPr="001870B0" w:rsidRDefault="001870B0" w:rsidP="001870B0">
      <w:pPr>
        <w:pStyle w:val="Rubrik"/>
        <w:rPr>
          <w:szCs w:val="24"/>
        </w:rPr>
      </w:pPr>
      <w:r w:rsidRPr="001870B0">
        <w:rPr>
          <w:szCs w:val="24"/>
        </w:rPr>
        <w:t>Bei einer Trauung anlässlich der Eheschließung mit einem nicht</w:t>
      </w:r>
      <w:r w:rsidR="008D6634">
        <w:rPr>
          <w:szCs w:val="24"/>
        </w:rPr>
        <w:softHyphen/>
      </w:r>
      <w:r w:rsidRPr="001870B0">
        <w:rPr>
          <w:szCs w:val="24"/>
        </w:rPr>
        <w:t>christlichen Partner / einer nichtchristlichen Partnerin ist im Vor</w:t>
      </w:r>
      <w:r w:rsidR="008D6634">
        <w:rPr>
          <w:szCs w:val="24"/>
        </w:rPr>
        <w:softHyphen/>
      </w:r>
      <w:r w:rsidRPr="001870B0">
        <w:rPr>
          <w:szCs w:val="24"/>
        </w:rPr>
        <w:t>bereitungsgespräch der nichtchristliche Partner / die nichtchrist</w:t>
      </w:r>
      <w:r w:rsidR="008D6634">
        <w:rPr>
          <w:szCs w:val="24"/>
        </w:rPr>
        <w:softHyphen/>
      </w:r>
      <w:r w:rsidRPr="001870B0">
        <w:rPr>
          <w:szCs w:val="24"/>
        </w:rPr>
        <w:t>liche Partnerin auf die Eheauffassung der Evangelisch-methodisti</w:t>
      </w:r>
      <w:r w:rsidR="008D6634">
        <w:rPr>
          <w:szCs w:val="24"/>
        </w:rPr>
        <w:softHyphen/>
      </w:r>
      <w:r w:rsidRPr="001870B0">
        <w:rPr>
          <w:szCs w:val="24"/>
        </w:rPr>
        <w:t>schen Kirche hinzuweisen. Im seelsorglichen Gespräch ist es hilf</w:t>
      </w:r>
      <w:r w:rsidR="008D6634">
        <w:rPr>
          <w:szCs w:val="24"/>
        </w:rPr>
        <w:softHyphen/>
      </w:r>
      <w:r w:rsidRPr="001870B0">
        <w:rPr>
          <w:szCs w:val="24"/>
        </w:rPr>
        <w:t>reich, die Ausübung des Glaubens (spirituell, zeitlich, finanziell) und auch die Frage religiöser Erziehung zu thematisieren. Der Wunsch nach einer kirchlichen Trauung sollte ausdrücklich durch den nichtchristlichen Partner / die nichtchristliche Partnerin ge</w:t>
      </w:r>
      <w:r w:rsidR="008D6634">
        <w:rPr>
          <w:szCs w:val="24"/>
        </w:rPr>
        <w:softHyphen/>
      </w:r>
      <w:r w:rsidRPr="001870B0">
        <w:rPr>
          <w:szCs w:val="24"/>
        </w:rPr>
        <w:t>teilt werden. Vom nichtchristlichen Partner / von der nicht</w:t>
      </w:r>
      <w:r w:rsidR="008D6634">
        <w:rPr>
          <w:szCs w:val="24"/>
        </w:rPr>
        <w:softHyphen/>
      </w:r>
      <w:r w:rsidRPr="001870B0">
        <w:rPr>
          <w:szCs w:val="24"/>
        </w:rPr>
        <w:t>christlichen Partnerin können in der Trauliturgie keine bekennt</w:t>
      </w:r>
      <w:r w:rsidR="008D6634">
        <w:rPr>
          <w:szCs w:val="24"/>
        </w:rPr>
        <w:softHyphen/>
      </w:r>
      <w:r w:rsidRPr="001870B0">
        <w:rPr>
          <w:szCs w:val="24"/>
        </w:rPr>
        <w:t>nishaften Aussagen verlangt werden, die über die Bejahung ehe</w:t>
      </w:r>
      <w:r w:rsidR="008D6634">
        <w:rPr>
          <w:szCs w:val="24"/>
        </w:rPr>
        <w:softHyphen/>
      </w:r>
      <w:r w:rsidRPr="001870B0">
        <w:rPr>
          <w:szCs w:val="24"/>
        </w:rPr>
        <w:t>licher Treue hinausgehen.</w:t>
      </w:r>
    </w:p>
    <w:p w:rsidR="00567F4E" w:rsidRPr="00E15508" w:rsidRDefault="001870B0" w:rsidP="001870B0">
      <w:pPr>
        <w:pStyle w:val="Rubrik"/>
        <w:rPr>
          <w:szCs w:val="24"/>
        </w:rPr>
      </w:pPr>
      <w:r w:rsidRPr="001870B0">
        <w:rPr>
          <w:szCs w:val="24"/>
        </w:rPr>
        <w:t>Ist die frühere Ehe eines der Eheleute geschieden worden, über</w:t>
      </w:r>
      <w:r w:rsidR="008D6634">
        <w:rPr>
          <w:szCs w:val="24"/>
        </w:rPr>
        <w:softHyphen/>
      </w:r>
      <w:r w:rsidRPr="001870B0">
        <w:rPr>
          <w:szCs w:val="24"/>
        </w:rPr>
        <w:t xml:space="preserve">zeugt sich der Pastor / die Pastorin im Traugespräch, dass sich die </w:t>
      </w:r>
      <w:r w:rsidRPr="001870B0">
        <w:rPr>
          <w:szCs w:val="24"/>
        </w:rPr>
        <w:lastRenderedPageBreak/>
        <w:t xml:space="preserve">Eheleute die Gründe bewusst gemacht haben, die zum Scheitern der früheren Ehe führten, und dass sie sich gewissenhaft darauf vorbereiten, die neue Ehe in christlicher Treue zu führen. Für die dafür notwendigen Gespräche </w:t>
      </w:r>
      <w:r w:rsidR="008D6634">
        <w:rPr>
          <w:szCs w:val="24"/>
        </w:rPr>
        <w:t xml:space="preserve">und Prozesse </w:t>
      </w:r>
      <w:r w:rsidRPr="001870B0">
        <w:rPr>
          <w:szCs w:val="24"/>
        </w:rPr>
        <w:t>soll zwischen der Ehe</w:t>
      </w:r>
      <w:r w:rsidR="008D6634">
        <w:rPr>
          <w:szCs w:val="24"/>
        </w:rPr>
        <w:softHyphen/>
      </w:r>
      <w:r w:rsidRPr="001870B0">
        <w:rPr>
          <w:szCs w:val="24"/>
        </w:rPr>
        <w:t>scheidung und der Segnung der neuen Ehe eine angemessene Zeit liegen.</w:t>
      </w:r>
    </w:p>
    <w:sectPr w:rsidR="00567F4E" w:rsidRPr="00E15508" w:rsidSect="00EB5ABA">
      <w:headerReference w:type="even" r:id="rId9"/>
      <w:headerReference w:type="default" r:id="rId10"/>
      <w:footerReference w:type="even" r:id="rId11"/>
      <w:footerReference w:type="default" r:id="rId12"/>
      <w:footnotePr>
        <w:numRestart w:val="eachPage"/>
      </w:footnotePr>
      <w:type w:val="continuous"/>
      <w:pgSz w:w="8392" w:h="11907" w:code="11"/>
      <w:pgMar w:top="680" w:right="680" w:bottom="680" w:left="1134" w:header="425"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310" w:rsidRDefault="00F67310">
      <w:r>
        <w:separator/>
      </w:r>
    </w:p>
  </w:endnote>
  <w:endnote w:type="continuationSeparator" w:id="0">
    <w:p w:rsidR="00F67310" w:rsidRDefault="00F67310">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20502060305060204"/>
    <w:charset w:val="00"/>
    <w:family w:val="roman"/>
    <w:notTrueType/>
    <w:pitch w:val="variable"/>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0F2D4B" w:rsidRPr="005158F8" w:rsidRDefault="00C72D2C" w:rsidP="005158F8">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0F2D4B" w:rsidRPr="005158F8">
          <w:rPr>
            <w:b/>
            <w:color w:val="808080" w:themeColor="background1" w:themeShade="80"/>
          </w:rPr>
          <w:instrText xml:space="preserve"> PAGE   \* MERGEFORMAT </w:instrText>
        </w:r>
        <w:r w:rsidRPr="005158F8">
          <w:rPr>
            <w:b/>
            <w:color w:val="808080" w:themeColor="background1" w:themeShade="80"/>
          </w:rPr>
          <w:fldChar w:fldCharType="separate"/>
        </w:r>
        <w:r w:rsidR="00DA543B">
          <w:rPr>
            <w:b/>
            <w:noProof/>
            <w:color w:val="808080" w:themeColor="background1" w:themeShade="80"/>
          </w:rPr>
          <w:t>2</w:t>
        </w:r>
        <w:r w:rsidRPr="005158F8">
          <w:rPr>
            <w:b/>
            <w:color w:val="808080" w:themeColor="background1" w:themeShade="80"/>
          </w:rPr>
          <w:fldChar w:fldCharType="end"/>
        </w:r>
        <w:r w:rsidR="000F2D4B" w:rsidRPr="005158F8">
          <w:rPr>
            <w:b/>
            <w:color w:val="808080" w:themeColor="background1" w:themeShade="80"/>
          </w:rPr>
          <w:tab/>
        </w:r>
        <w:r w:rsidR="000F2D4B" w:rsidRPr="005158F8">
          <w:rPr>
            <w:color w:val="808080" w:themeColor="background1" w:themeShade="80"/>
          </w:rPr>
          <w:t>|</w:t>
        </w:r>
        <w:r w:rsidR="000F2D4B" w:rsidRPr="005158F8">
          <w:rPr>
            <w:color w:val="808080" w:themeColor="background1" w:themeShade="80"/>
          </w:rPr>
          <w:tab/>
        </w:r>
        <w:r w:rsidR="000F4D8F" w:rsidRPr="005158F8">
          <w:rPr>
            <w:color w:val="808080" w:themeColor="background1" w:themeShade="80"/>
            <w:sz w:val="18"/>
            <w:szCs w:val="18"/>
          </w:rPr>
          <w:t>emk-gottesdienst.org</w:t>
        </w:r>
        <w:r w:rsidR="000F4D8F" w:rsidRPr="005158F8">
          <w:rPr>
            <w:color w:val="808080" w:themeColor="background1" w:themeShade="80"/>
          </w:rPr>
          <w:tab/>
        </w:r>
        <w:r w:rsidR="000F4D8F"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Pr="005158F8" w:rsidRDefault="000F4D8F" w:rsidP="0004034C">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Pr="005158F8">
      <w:rPr>
        <w:color w:val="808080" w:themeColor="background1" w:themeShade="80"/>
        <w:sz w:val="18"/>
        <w:szCs w:val="18"/>
      </w:rPr>
      <w:t>Trauung</w:t>
    </w:r>
    <w:r w:rsidR="001870B0">
      <w:rPr>
        <w:color w:val="808080" w:themeColor="background1" w:themeShade="80"/>
        <w:sz w:val="18"/>
        <w:szCs w:val="18"/>
      </w:rPr>
      <w:t xml:space="preserve"> und Ehejubiläum</w:t>
    </w:r>
    <w:r w:rsidR="005158F8" w:rsidRPr="005158F8">
      <w:rPr>
        <w:color w:val="808080" w:themeColor="background1" w:themeShade="80"/>
      </w:rPr>
      <w:tab/>
      <w:t>|</w:t>
    </w:r>
    <w:r w:rsidR="005158F8" w:rsidRPr="005158F8">
      <w:rPr>
        <w:color w:val="808080" w:themeColor="background1" w:themeShade="80"/>
      </w:rPr>
      <w:tab/>
    </w:r>
    <w:r w:rsidR="00C72D2C" w:rsidRPr="005158F8">
      <w:rPr>
        <w:b/>
        <w:color w:val="808080" w:themeColor="background1" w:themeShade="80"/>
      </w:rPr>
      <w:fldChar w:fldCharType="begin"/>
    </w:r>
    <w:r w:rsidR="005158F8" w:rsidRPr="005158F8">
      <w:rPr>
        <w:b/>
        <w:color w:val="808080" w:themeColor="background1" w:themeShade="80"/>
      </w:rPr>
      <w:instrText xml:space="preserve"> PAGE   \* MERGEFORMAT </w:instrText>
    </w:r>
    <w:r w:rsidR="00C72D2C" w:rsidRPr="005158F8">
      <w:rPr>
        <w:b/>
        <w:color w:val="808080" w:themeColor="background1" w:themeShade="80"/>
      </w:rPr>
      <w:fldChar w:fldCharType="separate"/>
    </w:r>
    <w:r w:rsidR="00DA543B">
      <w:rPr>
        <w:b/>
        <w:noProof/>
        <w:color w:val="808080" w:themeColor="background1" w:themeShade="80"/>
      </w:rPr>
      <w:t>3</w:t>
    </w:r>
    <w:r w:rsidR="00C72D2C"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310" w:rsidRDefault="00F67310">
      <w:r>
        <w:separator/>
      </w:r>
    </w:p>
  </w:footnote>
  <w:footnote w:type="continuationSeparator" w:id="0">
    <w:p w:rsidR="00F67310" w:rsidRDefault="00F67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EC" w:rsidRDefault="009E68EC" w:rsidP="000F2D4B">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Default="000F2D4B" w:rsidP="000F2D4B">
    <w:pPr>
      <w:pStyle w:val="Kopfzeile"/>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963"/>
    <w:multiLevelType w:val="hybridMultilevel"/>
    <w:tmpl w:val="44000622"/>
    <w:lvl w:ilvl="0" w:tplc="B7585ECC">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EA02C3"/>
    <w:multiLevelType w:val="hybridMultilevel"/>
    <w:tmpl w:val="F6DC0198"/>
    <w:lvl w:ilvl="0" w:tplc="A2C29A5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stylePaneFormatFilter w:val="3F01"/>
  <w:stylePaneSortMethod w:val="0000"/>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10"/>
  </w:hdrShapeDefaults>
  <w:footnotePr>
    <w:numRestart w:val="eachPage"/>
    <w:footnote w:id="-1"/>
    <w:footnote w:id="0"/>
  </w:footnotePr>
  <w:endnotePr>
    <w:endnote w:id="-1"/>
    <w:endnote w:id="0"/>
  </w:endnotePr>
  <w:compat/>
  <w:rsids>
    <w:rsidRoot w:val="00AD111A"/>
    <w:rsid w:val="00000E8F"/>
    <w:rsid w:val="00027DF2"/>
    <w:rsid w:val="00035D04"/>
    <w:rsid w:val="0004034C"/>
    <w:rsid w:val="00043A12"/>
    <w:rsid w:val="00043CF3"/>
    <w:rsid w:val="00045734"/>
    <w:rsid w:val="000669C0"/>
    <w:rsid w:val="0008112A"/>
    <w:rsid w:val="000819D8"/>
    <w:rsid w:val="00094CCF"/>
    <w:rsid w:val="00095AA5"/>
    <w:rsid w:val="000B537A"/>
    <w:rsid w:val="000B5BA4"/>
    <w:rsid w:val="000B7B9C"/>
    <w:rsid w:val="000D32DC"/>
    <w:rsid w:val="000D3AB8"/>
    <w:rsid w:val="000D7347"/>
    <w:rsid w:val="000F2D4B"/>
    <w:rsid w:val="000F4D8F"/>
    <w:rsid w:val="000F6BF1"/>
    <w:rsid w:val="00100968"/>
    <w:rsid w:val="001022F1"/>
    <w:rsid w:val="00106AB7"/>
    <w:rsid w:val="00106C58"/>
    <w:rsid w:val="00106CEC"/>
    <w:rsid w:val="0012226B"/>
    <w:rsid w:val="001315D1"/>
    <w:rsid w:val="0013291D"/>
    <w:rsid w:val="00141E1B"/>
    <w:rsid w:val="001519D3"/>
    <w:rsid w:val="001633C1"/>
    <w:rsid w:val="00171B87"/>
    <w:rsid w:val="00176CE3"/>
    <w:rsid w:val="00182B48"/>
    <w:rsid w:val="001870B0"/>
    <w:rsid w:val="00190051"/>
    <w:rsid w:val="001939EF"/>
    <w:rsid w:val="001A50B8"/>
    <w:rsid w:val="001B6776"/>
    <w:rsid w:val="001D3693"/>
    <w:rsid w:val="001D5377"/>
    <w:rsid w:val="001E060E"/>
    <w:rsid w:val="001E0B16"/>
    <w:rsid w:val="00211B19"/>
    <w:rsid w:val="00217327"/>
    <w:rsid w:val="002221A0"/>
    <w:rsid w:val="0022518C"/>
    <w:rsid w:val="0023601C"/>
    <w:rsid w:val="00244734"/>
    <w:rsid w:val="00252A7E"/>
    <w:rsid w:val="0025688B"/>
    <w:rsid w:val="002637C2"/>
    <w:rsid w:val="00263E08"/>
    <w:rsid w:val="002663C2"/>
    <w:rsid w:val="00271C99"/>
    <w:rsid w:val="002734CF"/>
    <w:rsid w:val="00282333"/>
    <w:rsid w:val="0028442B"/>
    <w:rsid w:val="00286D53"/>
    <w:rsid w:val="00291F64"/>
    <w:rsid w:val="00295F07"/>
    <w:rsid w:val="002A141C"/>
    <w:rsid w:val="002A3B51"/>
    <w:rsid w:val="002B7ED0"/>
    <w:rsid w:val="002C09B6"/>
    <w:rsid w:val="002C35AC"/>
    <w:rsid w:val="002D13B1"/>
    <w:rsid w:val="002D28DD"/>
    <w:rsid w:val="002D69B7"/>
    <w:rsid w:val="002D7A48"/>
    <w:rsid w:val="002E5767"/>
    <w:rsid w:val="002E6373"/>
    <w:rsid w:val="002F36B3"/>
    <w:rsid w:val="002F6DA2"/>
    <w:rsid w:val="00301207"/>
    <w:rsid w:val="003040F4"/>
    <w:rsid w:val="0030594C"/>
    <w:rsid w:val="00307D3E"/>
    <w:rsid w:val="003108CD"/>
    <w:rsid w:val="00322681"/>
    <w:rsid w:val="00335B2A"/>
    <w:rsid w:val="0034515C"/>
    <w:rsid w:val="00357381"/>
    <w:rsid w:val="00360BC3"/>
    <w:rsid w:val="00362162"/>
    <w:rsid w:val="0039563F"/>
    <w:rsid w:val="00397E59"/>
    <w:rsid w:val="003B367B"/>
    <w:rsid w:val="003B79B0"/>
    <w:rsid w:val="003C1F70"/>
    <w:rsid w:val="003D594C"/>
    <w:rsid w:val="00412D14"/>
    <w:rsid w:val="004150A0"/>
    <w:rsid w:val="00416BD2"/>
    <w:rsid w:val="00422191"/>
    <w:rsid w:val="00423134"/>
    <w:rsid w:val="00434D38"/>
    <w:rsid w:val="00442B59"/>
    <w:rsid w:val="00443D9E"/>
    <w:rsid w:val="004447AB"/>
    <w:rsid w:val="00444878"/>
    <w:rsid w:val="00447C60"/>
    <w:rsid w:val="0045061F"/>
    <w:rsid w:val="0046182C"/>
    <w:rsid w:val="00461DE8"/>
    <w:rsid w:val="00475110"/>
    <w:rsid w:val="0047721A"/>
    <w:rsid w:val="00477AE2"/>
    <w:rsid w:val="0049459E"/>
    <w:rsid w:val="00494EB7"/>
    <w:rsid w:val="004953C9"/>
    <w:rsid w:val="004A1536"/>
    <w:rsid w:val="004B1264"/>
    <w:rsid w:val="004B200B"/>
    <w:rsid w:val="004D6D19"/>
    <w:rsid w:val="004E2479"/>
    <w:rsid w:val="004E3DF3"/>
    <w:rsid w:val="004E6F89"/>
    <w:rsid w:val="004F0CF3"/>
    <w:rsid w:val="004F0F7E"/>
    <w:rsid w:val="0051491B"/>
    <w:rsid w:val="005158F8"/>
    <w:rsid w:val="005329B0"/>
    <w:rsid w:val="00534C1F"/>
    <w:rsid w:val="00542476"/>
    <w:rsid w:val="00564BF6"/>
    <w:rsid w:val="00567F4E"/>
    <w:rsid w:val="00570310"/>
    <w:rsid w:val="00571812"/>
    <w:rsid w:val="005742F2"/>
    <w:rsid w:val="00574F31"/>
    <w:rsid w:val="005778B6"/>
    <w:rsid w:val="00583113"/>
    <w:rsid w:val="005837AF"/>
    <w:rsid w:val="005A066B"/>
    <w:rsid w:val="005A6042"/>
    <w:rsid w:val="005B0576"/>
    <w:rsid w:val="005B065C"/>
    <w:rsid w:val="005B70FB"/>
    <w:rsid w:val="005C1612"/>
    <w:rsid w:val="005C388B"/>
    <w:rsid w:val="005D0D59"/>
    <w:rsid w:val="005D716A"/>
    <w:rsid w:val="005E1A82"/>
    <w:rsid w:val="005F048A"/>
    <w:rsid w:val="005F3209"/>
    <w:rsid w:val="005F5A5C"/>
    <w:rsid w:val="00604369"/>
    <w:rsid w:val="0060572A"/>
    <w:rsid w:val="00614029"/>
    <w:rsid w:val="00615F09"/>
    <w:rsid w:val="00616C8C"/>
    <w:rsid w:val="00620041"/>
    <w:rsid w:val="00623FA9"/>
    <w:rsid w:val="0062687E"/>
    <w:rsid w:val="006313EC"/>
    <w:rsid w:val="00634BD6"/>
    <w:rsid w:val="0063527E"/>
    <w:rsid w:val="006405E9"/>
    <w:rsid w:val="00642EE5"/>
    <w:rsid w:val="006462D8"/>
    <w:rsid w:val="006638AA"/>
    <w:rsid w:val="00664644"/>
    <w:rsid w:val="00673BFD"/>
    <w:rsid w:val="00684F57"/>
    <w:rsid w:val="00685618"/>
    <w:rsid w:val="0069389A"/>
    <w:rsid w:val="00694E8B"/>
    <w:rsid w:val="006A760F"/>
    <w:rsid w:val="006B5800"/>
    <w:rsid w:val="006B60B0"/>
    <w:rsid w:val="006C1897"/>
    <w:rsid w:val="006C76FF"/>
    <w:rsid w:val="006D4F3A"/>
    <w:rsid w:val="006E2150"/>
    <w:rsid w:val="006E2DCA"/>
    <w:rsid w:val="006E3B1F"/>
    <w:rsid w:val="006E3BF1"/>
    <w:rsid w:val="006F0963"/>
    <w:rsid w:val="006F1325"/>
    <w:rsid w:val="006F2115"/>
    <w:rsid w:val="006F3A94"/>
    <w:rsid w:val="0070329F"/>
    <w:rsid w:val="00704506"/>
    <w:rsid w:val="007205B6"/>
    <w:rsid w:val="00731135"/>
    <w:rsid w:val="0073257C"/>
    <w:rsid w:val="00755953"/>
    <w:rsid w:val="00757B35"/>
    <w:rsid w:val="00760B62"/>
    <w:rsid w:val="00760EE8"/>
    <w:rsid w:val="00765958"/>
    <w:rsid w:val="00766702"/>
    <w:rsid w:val="00776A74"/>
    <w:rsid w:val="00782D3D"/>
    <w:rsid w:val="00784971"/>
    <w:rsid w:val="00793DA5"/>
    <w:rsid w:val="0079725F"/>
    <w:rsid w:val="007A5E9D"/>
    <w:rsid w:val="007B0C05"/>
    <w:rsid w:val="007B1A5A"/>
    <w:rsid w:val="007B4B52"/>
    <w:rsid w:val="007C0827"/>
    <w:rsid w:val="007C597E"/>
    <w:rsid w:val="007F1410"/>
    <w:rsid w:val="007F2DD1"/>
    <w:rsid w:val="007F71E2"/>
    <w:rsid w:val="00805722"/>
    <w:rsid w:val="00813C5E"/>
    <w:rsid w:val="008143E8"/>
    <w:rsid w:val="0082781B"/>
    <w:rsid w:val="0083602A"/>
    <w:rsid w:val="00836CB6"/>
    <w:rsid w:val="0084033E"/>
    <w:rsid w:val="008461B7"/>
    <w:rsid w:val="00847435"/>
    <w:rsid w:val="00857426"/>
    <w:rsid w:val="00857D2C"/>
    <w:rsid w:val="00862CAA"/>
    <w:rsid w:val="0086583B"/>
    <w:rsid w:val="00872A2B"/>
    <w:rsid w:val="0088441A"/>
    <w:rsid w:val="008849B1"/>
    <w:rsid w:val="008A3CF8"/>
    <w:rsid w:val="008A6EFA"/>
    <w:rsid w:val="008B4AB2"/>
    <w:rsid w:val="008C0B70"/>
    <w:rsid w:val="008D443F"/>
    <w:rsid w:val="008D6634"/>
    <w:rsid w:val="008E0C53"/>
    <w:rsid w:val="008E48E7"/>
    <w:rsid w:val="008F40F0"/>
    <w:rsid w:val="00902022"/>
    <w:rsid w:val="00912025"/>
    <w:rsid w:val="0091293D"/>
    <w:rsid w:val="009259CA"/>
    <w:rsid w:val="0093034A"/>
    <w:rsid w:val="00932694"/>
    <w:rsid w:val="00933854"/>
    <w:rsid w:val="009356BE"/>
    <w:rsid w:val="0093713C"/>
    <w:rsid w:val="00944E11"/>
    <w:rsid w:val="00946A05"/>
    <w:rsid w:val="00954740"/>
    <w:rsid w:val="00965B2F"/>
    <w:rsid w:val="00967BE6"/>
    <w:rsid w:val="00970029"/>
    <w:rsid w:val="00976318"/>
    <w:rsid w:val="0099490D"/>
    <w:rsid w:val="009957C6"/>
    <w:rsid w:val="009A0839"/>
    <w:rsid w:val="009A3618"/>
    <w:rsid w:val="009A5FBB"/>
    <w:rsid w:val="009A749E"/>
    <w:rsid w:val="009B451C"/>
    <w:rsid w:val="009C04C4"/>
    <w:rsid w:val="009C4614"/>
    <w:rsid w:val="009D06A3"/>
    <w:rsid w:val="009D30A9"/>
    <w:rsid w:val="009D612E"/>
    <w:rsid w:val="009E68EC"/>
    <w:rsid w:val="009F0BD3"/>
    <w:rsid w:val="00A011E0"/>
    <w:rsid w:val="00A020E2"/>
    <w:rsid w:val="00A04B98"/>
    <w:rsid w:val="00A12EC1"/>
    <w:rsid w:val="00A16018"/>
    <w:rsid w:val="00A232B8"/>
    <w:rsid w:val="00A33C09"/>
    <w:rsid w:val="00A34E60"/>
    <w:rsid w:val="00A37281"/>
    <w:rsid w:val="00A4398D"/>
    <w:rsid w:val="00A43EA9"/>
    <w:rsid w:val="00A46A1A"/>
    <w:rsid w:val="00A479DC"/>
    <w:rsid w:val="00A5318C"/>
    <w:rsid w:val="00A5709B"/>
    <w:rsid w:val="00A574F0"/>
    <w:rsid w:val="00A6102F"/>
    <w:rsid w:val="00A6777A"/>
    <w:rsid w:val="00A7170D"/>
    <w:rsid w:val="00A76E08"/>
    <w:rsid w:val="00A807A5"/>
    <w:rsid w:val="00A815F6"/>
    <w:rsid w:val="00A83737"/>
    <w:rsid w:val="00A8542B"/>
    <w:rsid w:val="00A90B58"/>
    <w:rsid w:val="00A9236E"/>
    <w:rsid w:val="00AA4783"/>
    <w:rsid w:val="00AB2C84"/>
    <w:rsid w:val="00AB4227"/>
    <w:rsid w:val="00AB51E5"/>
    <w:rsid w:val="00AC7835"/>
    <w:rsid w:val="00AD111A"/>
    <w:rsid w:val="00AD6D0E"/>
    <w:rsid w:val="00AD6D82"/>
    <w:rsid w:val="00AE05C8"/>
    <w:rsid w:val="00AE4CBD"/>
    <w:rsid w:val="00AF37F4"/>
    <w:rsid w:val="00AF482E"/>
    <w:rsid w:val="00B12987"/>
    <w:rsid w:val="00B140D8"/>
    <w:rsid w:val="00B228A5"/>
    <w:rsid w:val="00B271AE"/>
    <w:rsid w:val="00B35D94"/>
    <w:rsid w:val="00B35E85"/>
    <w:rsid w:val="00B457DD"/>
    <w:rsid w:val="00B5092E"/>
    <w:rsid w:val="00B67EA8"/>
    <w:rsid w:val="00BA12DC"/>
    <w:rsid w:val="00BA4129"/>
    <w:rsid w:val="00BA6484"/>
    <w:rsid w:val="00BC31FF"/>
    <w:rsid w:val="00BC4137"/>
    <w:rsid w:val="00BD06CB"/>
    <w:rsid w:val="00BD1C81"/>
    <w:rsid w:val="00BE38F5"/>
    <w:rsid w:val="00BE3ADE"/>
    <w:rsid w:val="00BF2507"/>
    <w:rsid w:val="00BF5089"/>
    <w:rsid w:val="00C03296"/>
    <w:rsid w:val="00C0344F"/>
    <w:rsid w:val="00C07084"/>
    <w:rsid w:val="00C12900"/>
    <w:rsid w:val="00C17FF4"/>
    <w:rsid w:val="00C3598B"/>
    <w:rsid w:val="00C52B59"/>
    <w:rsid w:val="00C555B9"/>
    <w:rsid w:val="00C55ABA"/>
    <w:rsid w:val="00C72D2C"/>
    <w:rsid w:val="00C75318"/>
    <w:rsid w:val="00C77510"/>
    <w:rsid w:val="00C825FD"/>
    <w:rsid w:val="00CA4735"/>
    <w:rsid w:val="00CA4770"/>
    <w:rsid w:val="00CA52F0"/>
    <w:rsid w:val="00CA7148"/>
    <w:rsid w:val="00CB48C9"/>
    <w:rsid w:val="00CB4B99"/>
    <w:rsid w:val="00CC048A"/>
    <w:rsid w:val="00CC56AB"/>
    <w:rsid w:val="00CC61EB"/>
    <w:rsid w:val="00CE075B"/>
    <w:rsid w:val="00CE1C6E"/>
    <w:rsid w:val="00CE3201"/>
    <w:rsid w:val="00CE74FE"/>
    <w:rsid w:val="00CF2781"/>
    <w:rsid w:val="00CF3D8E"/>
    <w:rsid w:val="00CF3F2A"/>
    <w:rsid w:val="00CF793E"/>
    <w:rsid w:val="00D00DA0"/>
    <w:rsid w:val="00D02802"/>
    <w:rsid w:val="00D10EC2"/>
    <w:rsid w:val="00D11922"/>
    <w:rsid w:val="00D16885"/>
    <w:rsid w:val="00D176D6"/>
    <w:rsid w:val="00D2134C"/>
    <w:rsid w:val="00D35A92"/>
    <w:rsid w:val="00D36FE2"/>
    <w:rsid w:val="00D42756"/>
    <w:rsid w:val="00D45C36"/>
    <w:rsid w:val="00D50749"/>
    <w:rsid w:val="00D510E7"/>
    <w:rsid w:val="00D55F0E"/>
    <w:rsid w:val="00D56E75"/>
    <w:rsid w:val="00D57FE4"/>
    <w:rsid w:val="00D61801"/>
    <w:rsid w:val="00D674DF"/>
    <w:rsid w:val="00D86543"/>
    <w:rsid w:val="00D86D9F"/>
    <w:rsid w:val="00D90DBB"/>
    <w:rsid w:val="00D921E2"/>
    <w:rsid w:val="00D95C96"/>
    <w:rsid w:val="00D96205"/>
    <w:rsid w:val="00DA22EA"/>
    <w:rsid w:val="00DA543B"/>
    <w:rsid w:val="00DB0BF2"/>
    <w:rsid w:val="00DB5DD9"/>
    <w:rsid w:val="00DC20E2"/>
    <w:rsid w:val="00DC448B"/>
    <w:rsid w:val="00DD3436"/>
    <w:rsid w:val="00DD5D0E"/>
    <w:rsid w:val="00DD6A26"/>
    <w:rsid w:val="00DE2634"/>
    <w:rsid w:val="00E0128B"/>
    <w:rsid w:val="00E0473D"/>
    <w:rsid w:val="00E061AF"/>
    <w:rsid w:val="00E150C3"/>
    <w:rsid w:val="00E15508"/>
    <w:rsid w:val="00E21BBE"/>
    <w:rsid w:val="00E24CDB"/>
    <w:rsid w:val="00E318D0"/>
    <w:rsid w:val="00E374BB"/>
    <w:rsid w:val="00E4235C"/>
    <w:rsid w:val="00E46822"/>
    <w:rsid w:val="00E549CD"/>
    <w:rsid w:val="00E62957"/>
    <w:rsid w:val="00E661F3"/>
    <w:rsid w:val="00E66E69"/>
    <w:rsid w:val="00E82F08"/>
    <w:rsid w:val="00E933CF"/>
    <w:rsid w:val="00E96915"/>
    <w:rsid w:val="00EB5ABA"/>
    <w:rsid w:val="00EB75B5"/>
    <w:rsid w:val="00EC49E9"/>
    <w:rsid w:val="00EC50DE"/>
    <w:rsid w:val="00ED6DC2"/>
    <w:rsid w:val="00EE1ADE"/>
    <w:rsid w:val="00EF0793"/>
    <w:rsid w:val="00EF2245"/>
    <w:rsid w:val="00EF6239"/>
    <w:rsid w:val="00F13516"/>
    <w:rsid w:val="00F25B0E"/>
    <w:rsid w:val="00F27774"/>
    <w:rsid w:val="00F30FD2"/>
    <w:rsid w:val="00F34CAA"/>
    <w:rsid w:val="00F35298"/>
    <w:rsid w:val="00F36CE9"/>
    <w:rsid w:val="00F37C9E"/>
    <w:rsid w:val="00F42D07"/>
    <w:rsid w:val="00F430E7"/>
    <w:rsid w:val="00F437D9"/>
    <w:rsid w:val="00F54A16"/>
    <w:rsid w:val="00F562E6"/>
    <w:rsid w:val="00F608F1"/>
    <w:rsid w:val="00F60F3F"/>
    <w:rsid w:val="00F67310"/>
    <w:rsid w:val="00F72535"/>
    <w:rsid w:val="00F756F6"/>
    <w:rsid w:val="00F80895"/>
    <w:rsid w:val="00F81F6B"/>
    <w:rsid w:val="00F84BEF"/>
    <w:rsid w:val="00F92798"/>
    <w:rsid w:val="00F96686"/>
    <w:rsid w:val="00FA0ACB"/>
    <w:rsid w:val="00FA6198"/>
    <w:rsid w:val="00FC6AA2"/>
    <w:rsid w:val="00FD221D"/>
    <w:rsid w:val="00FF370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paragraph" w:styleId="berschrift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styleId="berschrift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styleId="berschrift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berschrift2"/>
    <w:rsid w:val="00BC4137"/>
    <w:rPr>
      <w:rFonts w:ascii="OfficinaSansITCStd Book" w:hAnsi="OfficinaSansITCStd Book"/>
      <w:b/>
      <w:color w:val="A6A6A6" w:themeColor="background1" w:themeShade="A6"/>
      <w:sz w:val="28"/>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character" w:customStyle="1" w:styleId="Stellenangabe">
    <w:name w:val="Stellenangabe"/>
    <w:basedOn w:val="Absatz-Standardschriftart"/>
    <w:uiPriority w:val="1"/>
    <w:qFormat/>
    <w:rsid w:val="00E15508"/>
    <w:rPr>
      <w:sz w:val="20"/>
    </w:rPr>
  </w:style>
  <w:style w:type="paragraph" w:styleId="StandardWeb">
    <w:name w:val="Normal (Web)"/>
    <w:basedOn w:val="Standard"/>
    <w:uiPriority w:val="99"/>
    <w:semiHidden/>
    <w:unhideWhenUsed/>
    <w:rsid w:val="00C0344F"/>
    <w:rPr>
      <w:rFonts w:ascii="Times New Roman" w:hAnsi="Times New Roman"/>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33CF"/>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3CF"/>
    <w:rPr>
      <w:rFonts w:ascii="Times New Roman" w:hAnsi="Times New Roman"/>
      <w:sz w:val="18"/>
      <w:szCs w:val="18"/>
    </w:rPr>
  </w:style>
  <w:style w:type="paragraph" w:styleId="Fuzeile">
    <w:name w:val="footer"/>
    <w:basedOn w:val="Standard"/>
    <w:link w:val="FuzeileZchn"/>
    <w:uiPriority w:val="99"/>
    <w:unhideWhenUsed/>
    <w:rsid w:val="003C1F70"/>
    <w:pPr>
      <w:tabs>
        <w:tab w:val="center" w:pos="4536"/>
        <w:tab w:val="right" w:pos="9072"/>
      </w:tabs>
    </w:pPr>
  </w:style>
  <w:style w:type="character" w:customStyle="1" w:styleId="FuzeileZchn">
    <w:name w:val="Fußzeile Zchn"/>
    <w:basedOn w:val="Absatz-Standardschriftart"/>
    <w:link w:val="Fuzeile"/>
    <w:uiPriority w:val="99"/>
    <w:rsid w:val="003C1F70"/>
    <w:rPr>
      <w:rFonts w:ascii="OfficinaSansITCStd Book" w:hAnsi="OfficinaSansITCStd Book"/>
      <w:sz w:val="24"/>
    </w:rPr>
  </w:style>
  <w:style w:type="paragraph" w:styleId="Kopfzeile">
    <w:name w:val="header"/>
    <w:basedOn w:val="Standard"/>
    <w:link w:val="KopfzeileZchn"/>
    <w:uiPriority w:val="99"/>
    <w:semiHidden/>
    <w:unhideWhenUsed/>
    <w:rsid w:val="003C1F70"/>
    <w:pPr>
      <w:tabs>
        <w:tab w:val="center" w:pos="4536"/>
        <w:tab w:val="right" w:pos="9072"/>
      </w:tabs>
    </w:pPr>
  </w:style>
  <w:style w:type="character" w:customStyle="1" w:styleId="KopfzeileZchn">
    <w:name w:val="Kopfzeile Zchn"/>
    <w:basedOn w:val="Absatz-Standardschriftart"/>
    <w:link w:val="Kopfzeile"/>
    <w:uiPriority w:val="99"/>
    <w:semiHidden/>
    <w:rsid w:val="003C1F70"/>
    <w:rPr>
      <w:rFonts w:ascii="OfficinaSansITCStd Book" w:hAnsi="OfficinaSansITCStd Book"/>
      <w:sz w:val="24"/>
    </w:rPr>
  </w:style>
  <w:style w:type="character" w:customStyle="1" w:styleId="berschrift3Zchn">
    <w:name w:val="Überschrift 3 Zchn"/>
    <w:basedOn w:val="Absatz-Standardschriftart"/>
    <w:link w:val="berschrift3"/>
    <w:uiPriority w:val="9"/>
    <w:rsid w:val="00BC4137"/>
    <w:rPr>
      <w:rFonts w:ascii="OfficinaSansITCStd Book" w:eastAsiaTheme="majorEastAsia" w:hAnsi="OfficinaSansITCStd Book" w:cstheme="majorBidi"/>
      <w:b/>
      <w:bCs/>
      <w:sz w:val="24"/>
    </w:rPr>
  </w:style>
</w:styles>
</file>

<file path=word/webSettings.xml><?xml version="1.0" encoding="utf-8"?>
<w:webSettings xmlns:r="http://schemas.openxmlformats.org/officeDocument/2006/relationships" xmlns:w="http://schemas.openxmlformats.org/wordprocessingml/2006/main">
  <w:divs>
    <w:div w:id="8725256">
      <w:bodyDiv w:val="1"/>
      <w:marLeft w:val="0"/>
      <w:marRight w:val="0"/>
      <w:marTop w:val="0"/>
      <w:marBottom w:val="0"/>
      <w:divBdr>
        <w:top w:val="none" w:sz="0" w:space="0" w:color="auto"/>
        <w:left w:val="none" w:sz="0" w:space="0" w:color="auto"/>
        <w:bottom w:val="none" w:sz="0" w:space="0" w:color="auto"/>
        <w:right w:val="none" w:sz="0" w:space="0" w:color="auto"/>
      </w:divBdr>
      <w:divsChild>
        <w:div w:id="2069718557">
          <w:marLeft w:val="0"/>
          <w:marRight w:val="0"/>
          <w:marTop w:val="0"/>
          <w:marBottom w:val="0"/>
          <w:divBdr>
            <w:top w:val="none" w:sz="0" w:space="0" w:color="auto"/>
            <w:left w:val="none" w:sz="0" w:space="0" w:color="auto"/>
            <w:bottom w:val="none" w:sz="0" w:space="0" w:color="auto"/>
            <w:right w:val="none" w:sz="0" w:space="0" w:color="auto"/>
          </w:divBdr>
          <w:divsChild>
            <w:div w:id="950823525">
              <w:marLeft w:val="0"/>
              <w:marRight w:val="0"/>
              <w:marTop w:val="0"/>
              <w:marBottom w:val="0"/>
              <w:divBdr>
                <w:top w:val="none" w:sz="0" w:space="0" w:color="auto"/>
                <w:left w:val="none" w:sz="0" w:space="0" w:color="auto"/>
                <w:bottom w:val="none" w:sz="0" w:space="0" w:color="auto"/>
                <w:right w:val="none" w:sz="0" w:space="0" w:color="auto"/>
              </w:divBdr>
              <w:divsChild>
                <w:div w:id="118767468">
                  <w:marLeft w:val="0"/>
                  <w:marRight w:val="0"/>
                  <w:marTop w:val="0"/>
                  <w:marBottom w:val="0"/>
                  <w:divBdr>
                    <w:top w:val="none" w:sz="0" w:space="0" w:color="auto"/>
                    <w:left w:val="none" w:sz="0" w:space="0" w:color="auto"/>
                    <w:bottom w:val="none" w:sz="0" w:space="0" w:color="auto"/>
                    <w:right w:val="none" w:sz="0" w:space="0" w:color="auto"/>
                  </w:divBdr>
                </w:div>
              </w:divsChild>
            </w:div>
            <w:div w:id="183179466">
              <w:marLeft w:val="0"/>
              <w:marRight w:val="0"/>
              <w:marTop w:val="0"/>
              <w:marBottom w:val="0"/>
              <w:divBdr>
                <w:top w:val="none" w:sz="0" w:space="0" w:color="auto"/>
                <w:left w:val="none" w:sz="0" w:space="0" w:color="auto"/>
                <w:bottom w:val="none" w:sz="0" w:space="0" w:color="auto"/>
                <w:right w:val="none" w:sz="0" w:space="0" w:color="auto"/>
              </w:divBdr>
              <w:divsChild>
                <w:div w:id="1560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393">
          <w:marLeft w:val="0"/>
          <w:marRight w:val="0"/>
          <w:marTop w:val="0"/>
          <w:marBottom w:val="0"/>
          <w:divBdr>
            <w:top w:val="none" w:sz="0" w:space="0" w:color="auto"/>
            <w:left w:val="none" w:sz="0" w:space="0" w:color="auto"/>
            <w:bottom w:val="none" w:sz="0" w:space="0" w:color="auto"/>
            <w:right w:val="none" w:sz="0" w:space="0" w:color="auto"/>
          </w:divBdr>
          <w:divsChild>
            <w:div w:id="1888447436">
              <w:marLeft w:val="0"/>
              <w:marRight w:val="0"/>
              <w:marTop w:val="0"/>
              <w:marBottom w:val="0"/>
              <w:divBdr>
                <w:top w:val="none" w:sz="0" w:space="0" w:color="auto"/>
                <w:left w:val="none" w:sz="0" w:space="0" w:color="auto"/>
                <w:bottom w:val="none" w:sz="0" w:space="0" w:color="auto"/>
                <w:right w:val="none" w:sz="0" w:space="0" w:color="auto"/>
              </w:divBdr>
              <w:divsChild>
                <w:div w:id="25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482935354">
      <w:bodyDiv w:val="1"/>
      <w:marLeft w:val="0"/>
      <w:marRight w:val="0"/>
      <w:marTop w:val="0"/>
      <w:marBottom w:val="0"/>
      <w:divBdr>
        <w:top w:val="none" w:sz="0" w:space="0" w:color="auto"/>
        <w:left w:val="none" w:sz="0" w:space="0" w:color="auto"/>
        <w:bottom w:val="none" w:sz="0" w:space="0" w:color="auto"/>
        <w:right w:val="none" w:sz="0" w:space="0" w:color="auto"/>
      </w:divBdr>
    </w:div>
    <w:div w:id="803351095">
      <w:bodyDiv w:val="1"/>
      <w:marLeft w:val="0"/>
      <w:marRight w:val="0"/>
      <w:marTop w:val="0"/>
      <w:marBottom w:val="0"/>
      <w:divBdr>
        <w:top w:val="none" w:sz="0" w:space="0" w:color="auto"/>
        <w:left w:val="none" w:sz="0" w:space="0" w:color="auto"/>
        <w:bottom w:val="none" w:sz="0" w:space="0" w:color="auto"/>
        <w:right w:val="none" w:sz="0" w:space="0" w:color="auto"/>
      </w:divBdr>
    </w:div>
    <w:div w:id="8402378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748">
          <w:marLeft w:val="0"/>
          <w:marRight w:val="0"/>
          <w:marTop w:val="0"/>
          <w:marBottom w:val="0"/>
          <w:divBdr>
            <w:top w:val="none" w:sz="0" w:space="0" w:color="auto"/>
            <w:left w:val="none" w:sz="0" w:space="0" w:color="auto"/>
            <w:bottom w:val="none" w:sz="0" w:space="0" w:color="auto"/>
            <w:right w:val="none" w:sz="0" w:space="0" w:color="auto"/>
          </w:divBdr>
          <w:divsChild>
            <w:div w:id="497697041">
              <w:marLeft w:val="0"/>
              <w:marRight w:val="0"/>
              <w:marTop w:val="0"/>
              <w:marBottom w:val="0"/>
              <w:divBdr>
                <w:top w:val="none" w:sz="0" w:space="0" w:color="auto"/>
                <w:left w:val="none" w:sz="0" w:space="0" w:color="auto"/>
                <w:bottom w:val="none" w:sz="0" w:space="0" w:color="auto"/>
                <w:right w:val="none" w:sz="0" w:space="0" w:color="auto"/>
              </w:divBdr>
              <w:divsChild>
                <w:div w:id="247085064">
                  <w:marLeft w:val="0"/>
                  <w:marRight w:val="0"/>
                  <w:marTop w:val="0"/>
                  <w:marBottom w:val="0"/>
                  <w:divBdr>
                    <w:top w:val="none" w:sz="0" w:space="0" w:color="auto"/>
                    <w:left w:val="none" w:sz="0" w:space="0" w:color="auto"/>
                    <w:bottom w:val="none" w:sz="0" w:space="0" w:color="auto"/>
                    <w:right w:val="none" w:sz="0" w:space="0" w:color="auto"/>
                  </w:divBdr>
                </w:div>
              </w:divsChild>
            </w:div>
            <w:div w:id="668481882">
              <w:marLeft w:val="0"/>
              <w:marRight w:val="0"/>
              <w:marTop w:val="0"/>
              <w:marBottom w:val="0"/>
              <w:divBdr>
                <w:top w:val="none" w:sz="0" w:space="0" w:color="auto"/>
                <w:left w:val="none" w:sz="0" w:space="0" w:color="auto"/>
                <w:bottom w:val="none" w:sz="0" w:space="0" w:color="auto"/>
                <w:right w:val="none" w:sz="0" w:space="0" w:color="auto"/>
              </w:divBdr>
              <w:divsChild>
                <w:div w:id="1427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40">
          <w:marLeft w:val="0"/>
          <w:marRight w:val="0"/>
          <w:marTop w:val="0"/>
          <w:marBottom w:val="0"/>
          <w:divBdr>
            <w:top w:val="none" w:sz="0" w:space="0" w:color="auto"/>
            <w:left w:val="none" w:sz="0" w:space="0" w:color="auto"/>
            <w:bottom w:val="none" w:sz="0" w:space="0" w:color="auto"/>
            <w:right w:val="none" w:sz="0" w:space="0" w:color="auto"/>
          </w:divBdr>
          <w:divsChild>
            <w:div w:id="242686025">
              <w:marLeft w:val="0"/>
              <w:marRight w:val="0"/>
              <w:marTop w:val="0"/>
              <w:marBottom w:val="0"/>
              <w:divBdr>
                <w:top w:val="none" w:sz="0" w:space="0" w:color="auto"/>
                <w:left w:val="none" w:sz="0" w:space="0" w:color="auto"/>
                <w:bottom w:val="none" w:sz="0" w:space="0" w:color="auto"/>
                <w:right w:val="none" w:sz="0" w:space="0" w:color="auto"/>
              </w:divBdr>
              <w:divsChild>
                <w:div w:id="2027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062">
      <w:bodyDiv w:val="1"/>
      <w:marLeft w:val="0"/>
      <w:marRight w:val="0"/>
      <w:marTop w:val="0"/>
      <w:marBottom w:val="0"/>
      <w:divBdr>
        <w:top w:val="none" w:sz="0" w:space="0" w:color="auto"/>
        <w:left w:val="none" w:sz="0" w:space="0" w:color="auto"/>
        <w:bottom w:val="none" w:sz="0" w:space="0" w:color="auto"/>
        <w:right w:val="none" w:sz="0" w:space="0" w:color="auto"/>
      </w:divBdr>
      <w:divsChild>
        <w:div w:id="1650594745">
          <w:marLeft w:val="0"/>
          <w:marRight w:val="0"/>
          <w:marTop w:val="0"/>
          <w:marBottom w:val="0"/>
          <w:divBdr>
            <w:top w:val="none" w:sz="0" w:space="0" w:color="auto"/>
            <w:left w:val="none" w:sz="0" w:space="0" w:color="auto"/>
            <w:bottom w:val="none" w:sz="0" w:space="0" w:color="auto"/>
            <w:right w:val="none" w:sz="0" w:space="0" w:color="auto"/>
          </w:divBdr>
          <w:divsChild>
            <w:div w:id="931401354">
              <w:marLeft w:val="0"/>
              <w:marRight w:val="0"/>
              <w:marTop w:val="0"/>
              <w:marBottom w:val="0"/>
              <w:divBdr>
                <w:top w:val="none" w:sz="0" w:space="0" w:color="auto"/>
                <w:left w:val="none" w:sz="0" w:space="0" w:color="auto"/>
                <w:bottom w:val="none" w:sz="0" w:space="0" w:color="auto"/>
                <w:right w:val="none" w:sz="0" w:space="0" w:color="auto"/>
              </w:divBdr>
              <w:divsChild>
                <w:div w:id="7911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667">
      <w:bodyDiv w:val="1"/>
      <w:marLeft w:val="0"/>
      <w:marRight w:val="0"/>
      <w:marTop w:val="0"/>
      <w:marBottom w:val="0"/>
      <w:divBdr>
        <w:top w:val="none" w:sz="0" w:space="0" w:color="auto"/>
        <w:left w:val="none" w:sz="0" w:space="0" w:color="auto"/>
        <w:bottom w:val="none" w:sz="0" w:space="0" w:color="auto"/>
        <w:right w:val="none" w:sz="0" w:space="0" w:color="auto"/>
      </w:divBdr>
    </w:div>
    <w:div w:id="1286697577">
      <w:bodyDiv w:val="1"/>
      <w:marLeft w:val="0"/>
      <w:marRight w:val="0"/>
      <w:marTop w:val="0"/>
      <w:marBottom w:val="0"/>
      <w:divBdr>
        <w:top w:val="none" w:sz="0" w:space="0" w:color="auto"/>
        <w:left w:val="none" w:sz="0" w:space="0" w:color="auto"/>
        <w:bottom w:val="none" w:sz="0" w:space="0" w:color="auto"/>
        <w:right w:val="none" w:sz="0" w:space="0" w:color="auto"/>
      </w:divBdr>
    </w:div>
    <w:div w:id="1380594513">
      <w:bodyDiv w:val="1"/>
      <w:marLeft w:val="0"/>
      <w:marRight w:val="0"/>
      <w:marTop w:val="0"/>
      <w:marBottom w:val="0"/>
      <w:divBdr>
        <w:top w:val="none" w:sz="0" w:space="0" w:color="auto"/>
        <w:left w:val="none" w:sz="0" w:space="0" w:color="auto"/>
        <w:bottom w:val="none" w:sz="0" w:space="0" w:color="auto"/>
        <w:right w:val="none" w:sz="0" w:space="0" w:color="auto"/>
      </w:divBdr>
    </w:div>
    <w:div w:id="1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84294195">
          <w:marLeft w:val="0"/>
          <w:marRight w:val="0"/>
          <w:marTop w:val="0"/>
          <w:marBottom w:val="0"/>
          <w:divBdr>
            <w:top w:val="none" w:sz="0" w:space="0" w:color="auto"/>
            <w:left w:val="none" w:sz="0" w:space="0" w:color="auto"/>
            <w:bottom w:val="none" w:sz="0" w:space="0" w:color="auto"/>
            <w:right w:val="none" w:sz="0" w:space="0" w:color="auto"/>
          </w:divBdr>
          <w:divsChild>
            <w:div w:id="1733308647">
              <w:marLeft w:val="0"/>
              <w:marRight w:val="0"/>
              <w:marTop w:val="0"/>
              <w:marBottom w:val="0"/>
              <w:divBdr>
                <w:top w:val="none" w:sz="0" w:space="0" w:color="auto"/>
                <w:left w:val="none" w:sz="0" w:space="0" w:color="auto"/>
                <w:bottom w:val="none" w:sz="0" w:space="0" w:color="auto"/>
                <w:right w:val="none" w:sz="0" w:space="0" w:color="auto"/>
              </w:divBdr>
              <w:divsChild>
                <w:div w:id="1788550108">
                  <w:marLeft w:val="0"/>
                  <w:marRight w:val="0"/>
                  <w:marTop w:val="0"/>
                  <w:marBottom w:val="0"/>
                  <w:divBdr>
                    <w:top w:val="none" w:sz="0" w:space="0" w:color="auto"/>
                    <w:left w:val="none" w:sz="0" w:space="0" w:color="auto"/>
                    <w:bottom w:val="none" w:sz="0" w:space="0" w:color="auto"/>
                    <w:right w:val="none" w:sz="0" w:space="0" w:color="auto"/>
                  </w:divBdr>
                </w:div>
              </w:divsChild>
            </w:div>
            <w:div w:id="51782625">
              <w:marLeft w:val="0"/>
              <w:marRight w:val="0"/>
              <w:marTop w:val="0"/>
              <w:marBottom w:val="0"/>
              <w:divBdr>
                <w:top w:val="none" w:sz="0" w:space="0" w:color="auto"/>
                <w:left w:val="none" w:sz="0" w:space="0" w:color="auto"/>
                <w:bottom w:val="none" w:sz="0" w:space="0" w:color="auto"/>
                <w:right w:val="none" w:sz="0" w:space="0" w:color="auto"/>
              </w:divBdr>
              <w:divsChild>
                <w:div w:id="762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843">
          <w:marLeft w:val="0"/>
          <w:marRight w:val="0"/>
          <w:marTop w:val="0"/>
          <w:marBottom w:val="0"/>
          <w:divBdr>
            <w:top w:val="none" w:sz="0" w:space="0" w:color="auto"/>
            <w:left w:val="none" w:sz="0" w:space="0" w:color="auto"/>
            <w:bottom w:val="none" w:sz="0" w:space="0" w:color="auto"/>
            <w:right w:val="none" w:sz="0" w:space="0" w:color="auto"/>
          </w:divBdr>
          <w:divsChild>
            <w:div w:id="1754811047">
              <w:marLeft w:val="0"/>
              <w:marRight w:val="0"/>
              <w:marTop w:val="0"/>
              <w:marBottom w:val="0"/>
              <w:divBdr>
                <w:top w:val="none" w:sz="0" w:space="0" w:color="auto"/>
                <w:left w:val="none" w:sz="0" w:space="0" w:color="auto"/>
                <w:bottom w:val="none" w:sz="0" w:space="0" w:color="auto"/>
                <w:right w:val="none" w:sz="0" w:space="0" w:color="auto"/>
              </w:divBdr>
              <w:divsChild>
                <w:div w:id="21354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7218">
      <w:bodyDiv w:val="1"/>
      <w:marLeft w:val="0"/>
      <w:marRight w:val="0"/>
      <w:marTop w:val="0"/>
      <w:marBottom w:val="0"/>
      <w:divBdr>
        <w:top w:val="none" w:sz="0" w:space="0" w:color="auto"/>
        <w:left w:val="none" w:sz="0" w:space="0" w:color="auto"/>
        <w:bottom w:val="none" w:sz="0" w:space="0" w:color="auto"/>
        <w:right w:val="none" w:sz="0" w:space="0" w:color="auto"/>
      </w:divBdr>
    </w:div>
    <w:div w:id="1543593098">
      <w:bodyDiv w:val="1"/>
      <w:marLeft w:val="0"/>
      <w:marRight w:val="0"/>
      <w:marTop w:val="0"/>
      <w:marBottom w:val="0"/>
      <w:divBdr>
        <w:top w:val="none" w:sz="0" w:space="0" w:color="auto"/>
        <w:left w:val="none" w:sz="0" w:space="0" w:color="auto"/>
        <w:bottom w:val="none" w:sz="0" w:space="0" w:color="auto"/>
        <w:right w:val="none" w:sz="0" w:space="0" w:color="auto"/>
      </w:divBdr>
    </w:div>
    <w:div w:id="1589539449">
      <w:bodyDiv w:val="1"/>
      <w:marLeft w:val="0"/>
      <w:marRight w:val="0"/>
      <w:marTop w:val="0"/>
      <w:marBottom w:val="0"/>
      <w:divBdr>
        <w:top w:val="none" w:sz="0" w:space="0" w:color="auto"/>
        <w:left w:val="none" w:sz="0" w:space="0" w:color="auto"/>
        <w:bottom w:val="none" w:sz="0" w:space="0" w:color="auto"/>
        <w:right w:val="none" w:sz="0" w:space="0" w:color="auto"/>
      </w:divBdr>
    </w:div>
    <w:div w:id="1843739612">
      <w:bodyDiv w:val="1"/>
      <w:marLeft w:val="0"/>
      <w:marRight w:val="0"/>
      <w:marTop w:val="0"/>
      <w:marBottom w:val="0"/>
      <w:divBdr>
        <w:top w:val="none" w:sz="0" w:space="0" w:color="auto"/>
        <w:left w:val="none" w:sz="0" w:space="0" w:color="auto"/>
        <w:bottom w:val="none" w:sz="0" w:space="0" w:color="auto"/>
        <w:right w:val="none" w:sz="0" w:space="0" w:color="auto"/>
      </w:divBdr>
      <w:divsChild>
        <w:div w:id="314451807">
          <w:marLeft w:val="0"/>
          <w:marRight w:val="0"/>
          <w:marTop w:val="0"/>
          <w:marBottom w:val="0"/>
          <w:divBdr>
            <w:top w:val="none" w:sz="0" w:space="0" w:color="auto"/>
            <w:left w:val="none" w:sz="0" w:space="0" w:color="auto"/>
            <w:bottom w:val="none" w:sz="0" w:space="0" w:color="auto"/>
            <w:right w:val="none" w:sz="0" w:space="0" w:color="auto"/>
          </w:divBdr>
          <w:divsChild>
            <w:div w:id="388726640">
              <w:marLeft w:val="0"/>
              <w:marRight w:val="0"/>
              <w:marTop w:val="0"/>
              <w:marBottom w:val="0"/>
              <w:divBdr>
                <w:top w:val="none" w:sz="0" w:space="0" w:color="auto"/>
                <w:left w:val="none" w:sz="0" w:space="0" w:color="auto"/>
                <w:bottom w:val="none" w:sz="0" w:space="0" w:color="auto"/>
                <w:right w:val="none" w:sz="0" w:space="0" w:color="auto"/>
              </w:divBdr>
              <w:divsChild>
                <w:div w:id="2138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59">
      <w:bodyDiv w:val="1"/>
      <w:marLeft w:val="0"/>
      <w:marRight w:val="0"/>
      <w:marTop w:val="0"/>
      <w:marBottom w:val="0"/>
      <w:divBdr>
        <w:top w:val="none" w:sz="0" w:space="0" w:color="auto"/>
        <w:left w:val="none" w:sz="0" w:space="0" w:color="auto"/>
        <w:bottom w:val="none" w:sz="0" w:space="0" w:color="auto"/>
        <w:right w:val="none" w:sz="0" w:space="0" w:color="auto"/>
      </w:divBdr>
      <w:divsChild>
        <w:div w:id="1679623799">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sChild>
                <w:div w:id="16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81C59-0D1F-417E-9FDD-978BACC6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Trauerfeier mit Bestattung</vt:lpstr>
    </vt:vector>
  </TitlesOfParts>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Trauerfeier mit Bestattung</dc:title>
  <dc:subject>EmK</dc:subject>
  <dc:creator>Fachgruppe GA</dc:creator>
  <cp:keywords>ZK-D</cp:keywords>
  <dc:description>Fachgruppe für Gottesdienst und Agende</dc:description>
  <cp:lastModifiedBy>Zero</cp:lastModifiedBy>
  <cp:revision>4</cp:revision>
  <cp:lastPrinted>2022-11-18T15:31:00Z</cp:lastPrinted>
  <dcterms:created xsi:type="dcterms:W3CDTF">2024-06-28T15:14:00Z</dcterms:created>
  <dcterms:modified xsi:type="dcterms:W3CDTF">2024-07-03T14:07:00Z</dcterms:modified>
  <cp:category>Formular, freigegeben</cp:category>
  <cp:contentStatus>Erprobung</cp:contentStatus>
</cp:coreProperties>
</file>